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ABC1C" w14:textId="77777777" w:rsidR="00816DE6" w:rsidRPr="00FD4404" w:rsidRDefault="00000000">
      <w:pPr>
        <w:rPr>
          <w:rFonts w:ascii="Century Gothic" w:hAnsi="Century Gothic"/>
          <w:sz w:val="24"/>
          <w:szCs w:val="24"/>
        </w:rPr>
      </w:pPr>
      <w:r w:rsidRPr="00FD4404">
        <w:rPr>
          <w:rFonts w:ascii="Century Gothic" w:hAnsi="Century Gothic"/>
          <w:b/>
          <w:bCs/>
          <w:sz w:val="24"/>
          <w:szCs w:val="24"/>
        </w:rPr>
        <w:t xml:space="preserve">Rental Housing Amendment Act, 2014 (Act No. 35 of 2014) </w:t>
      </w:r>
      <w:r w:rsidRPr="00FD4404">
        <w:rPr>
          <w:rFonts w:ascii="Century Gothic" w:hAnsi="Century Gothic"/>
          <w:b/>
          <w:bCs/>
          <w:sz w:val="24"/>
          <w:szCs w:val="24"/>
        </w:rPr>
        <w:br/>
        <w:t xml:space="preserve">REPUBLIC OF SOUTH AFRICA </w:t>
      </w:r>
      <w:r w:rsidRPr="00FD4404">
        <w:rPr>
          <w:rFonts w:ascii="Century Gothic" w:hAnsi="Century Gothic"/>
          <w:b/>
          <w:bCs/>
          <w:sz w:val="24"/>
          <w:szCs w:val="24"/>
        </w:rPr>
        <w:br/>
        <w:t xml:space="preserve">Rental Housing Amendment Act, 2014 (Act No. 35 of 2014) </w:t>
      </w:r>
      <w:r w:rsidRPr="00FD4404">
        <w:rPr>
          <w:rFonts w:ascii="Century Gothic" w:hAnsi="Century Gothic"/>
          <w:b/>
          <w:bCs/>
          <w:sz w:val="24"/>
          <w:szCs w:val="24"/>
        </w:rPr>
        <w:br/>
        <w:t xml:space="preserve">(English text signed by the President) </w:t>
      </w:r>
      <w:r w:rsidRPr="00FD4404">
        <w:rPr>
          <w:rFonts w:ascii="Century Gothic" w:hAnsi="Century Gothic"/>
          <w:sz w:val="24"/>
          <w:szCs w:val="24"/>
        </w:rPr>
        <w:br/>
        <w:t xml:space="preserve"> </w:t>
      </w:r>
      <w:r w:rsidRPr="00FD4404">
        <w:rPr>
          <w:rFonts w:ascii="Century Gothic" w:hAnsi="Century Gothic"/>
          <w:sz w:val="24"/>
          <w:szCs w:val="24"/>
        </w:rPr>
        <w:br/>
      </w:r>
      <w:r w:rsidRPr="00FD4404">
        <w:rPr>
          <w:rFonts w:ascii="Century Gothic" w:hAnsi="Century Gothic"/>
          <w:b/>
          <w:bCs/>
          <w:sz w:val="24"/>
          <w:szCs w:val="24"/>
        </w:rPr>
        <w:t xml:space="preserve">ACT </w:t>
      </w:r>
      <w:r w:rsidRPr="00FD4404">
        <w:rPr>
          <w:rFonts w:ascii="Century Gothic" w:hAnsi="Century Gothic"/>
          <w:sz w:val="24"/>
          <w:szCs w:val="24"/>
        </w:rPr>
        <w:br/>
        <w:t xml:space="preserve">To amend the Rental Housing Act, 1999, so as to substitute and insert certain definitions; to </w:t>
      </w:r>
      <w:r w:rsidRPr="00FD4404">
        <w:rPr>
          <w:rFonts w:ascii="Century Gothic" w:hAnsi="Century Gothic"/>
          <w:sz w:val="24"/>
          <w:szCs w:val="24"/>
        </w:rPr>
        <w:br/>
        <w:t xml:space="preserve">require leases to be in writing; to extend the application of the Act to informal settlements; </w:t>
      </w:r>
      <w:r w:rsidRPr="00FD4404">
        <w:rPr>
          <w:rFonts w:ascii="Century Gothic" w:hAnsi="Century Gothic"/>
          <w:sz w:val="24"/>
          <w:szCs w:val="24"/>
        </w:rPr>
        <w:br/>
        <w:t xml:space="preserve">to impose obligations on landlords and tenants; to provide for the establishment of Rental </w:t>
      </w:r>
      <w:r w:rsidRPr="00FD4404">
        <w:rPr>
          <w:rFonts w:ascii="Century Gothic" w:hAnsi="Century Gothic"/>
          <w:sz w:val="24"/>
          <w:szCs w:val="24"/>
        </w:rPr>
        <w:br/>
        <w:t xml:space="preserve">Housing Tribunals in every province; to provide for the extension of the powers of the </w:t>
      </w:r>
      <w:r w:rsidRPr="00FD4404">
        <w:rPr>
          <w:rFonts w:ascii="Century Gothic" w:hAnsi="Century Gothic"/>
          <w:sz w:val="24"/>
          <w:szCs w:val="24"/>
        </w:rPr>
        <w:br/>
        <w:t xml:space="preserve">Tribunals; to require the Minister to establish norms and standards; and to provide for </w:t>
      </w:r>
      <w:r w:rsidRPr="00FD4404">
        <w:rPr>
          <w:rFonts w:ascii="Century Gothic" w:hAnsi="Century Gothic"/>
          <w:sz w:val="24"/>
          <w:szCs w:val="24"/>
        </w:rPr>
        <w:br/>
        <w:t xml:space="preserve">matters connected therewith. </w:t>
      </w:r>
      <w:r w:rsidRPr="00FD4404">
        <w:rPr>
          <w:rFonts w:ascii="Century Gothic" w:hAnsi="Century Gothic"/>
          <w:sz w:val="24"/>
          <w:szCs w:val="24"/>
        </w:rPr>
        <w:br/>
        <w:t xml:space="preserve"> </w:t>
      </w:r>
      <w:r w:rsidRPr="00FD4404">
        <w:rPr>
          <w:rFonts w:ascii="Century Gothic" w:hAnsi="Century Gothic"/>
          <w:sz w:val="24"/>
          <w:szCs w:val="24"/>
        </w:rPr>
        <w:br/>
        <w:t xml:space="preserve">BE IT ENACTED by the Parliament of the Republic of South Africa, as follows: </w:t>
      </w:r>
      <w:r w:rsidRPr="00FD4404">
        <w:rPr>
          <w:rFonts w:ascii="Century Gothic" w:hAnsi="Century Gothic"/>
          <w:sz w:val="24"/>
          <w:szCs w:val="24"/>
        </w:rPr>
        <w:br/>
        <w:t xml:space="preserve"> </w:t>
      </w:r>
      <w:r w:rsidRPr="00FD4404">
        <w:rPr>
          <w:rFonts w:ascii="Century Gothic" w:hAnsi="Century Gothic"/>
          <w:sz w:val="24"/>
          <w:szCs w:val="24"/>
        </w:rPr>
        <w:br/>
      </w:r>
      <w:r w:rsidRPr="00FD4404">
        <w:rPr>
          <w:rFonts w:ascii="Century Gothic" w:hAnsi="Century Gothic"/>
          <w:b/>
          <w:bCs/>
          <w:sz w:val="24"/>
          <w:szCs w:val="24"/>
        </w:rPr>
        <w:t xml:space="preserve">1. Amendment of section 1 of Act 50 of 1999 </w:t>
      </w:r>
      <w:r w:rsidRPr="00FD4404">
        <w:rPr>
          <w:rFonts w:ascii="Century Gothic" w:hAnsi="Century Gothic"/>
          <w:b/>
          <w:bCs/>
          <w:sz w:val="24"/>
          <w:szCs w:val="24"/>
        </w:rPr>
        <w:br/>
      </w:r>
      <w:r w:rsidRPr="00FD4404">
        <w:rPr>
          <w:rFonts w:ascii="Century Gothic" w:hAnsi="Century Gothic"/>
          <w:sz w:val="24"/>
          <w:szCs w:val="24"/>
        </w:rPr>
        <w:t xml:space="preserve">Section 1 of the Rental Housing Act, 1999 (hereinafter referred to as the principal Act), is </w:t>
      </w:r>
      <w:r w:rsidRPr="00FD4404">
        <w:rPr>
          <w:rFonts w:ascii="Century Gothic" w:hAnsi="Century Gothic"/>
          <w:sz w:val="24"/>
          <w:szCs w:val="24"/>
        </w:rPr>
        <w:br/>
        <w:t xml:space="preserve">hereby amended— </w:t>
      </w:r>
      <w:r w:rsidRPr="00FD4404">
        <w:rPr>
          <w:rFonts w:ascii="Century Gothic" w:hAnsi="Century Gothic"/>
          <w:sz w:val="24"/>
          <w:szCs w:val="24"/>
        </w:rPr>
        <w:br/>
        <w:t xml:space="preserve">(a) by the substitution for the definition of “landlord” of the following definition: </w:t>
      </w:r>
      <w:r w:rsidRPr="00FD4404">
        <w:rPr>
          <w:rFonts w:ascii="Century Gothic" w:hAnsi="Century Gothic"/>
          <w:sz w:val="24"/>
          <w:szCs w:val="24"/>
        </w:rPr>
        <w:br/>
        <w:t xml:space="preserve">“ ‘landlord’ means the owner of a dwelling or his or her duly authorised agent or a person </w:t>
      </w:r>
      <w:r w:rsidRPr="00FD4404">
        <w:rPr>
          <w:rFonts w:ascii="Century Gothic" w:hAnsi="Century Gothic"/>
          <w:sz w:val="24"/>
          <w:szCs w:val="24"/>
        </w:rPr>
        <w:br/>
        <w:t xml:space="preserve">who is in lawful possession of a dwelling and has the right to lease or sublease it;”; </w:t>
      </w:r>
      <w:r w:rsidRPr="00FD4404">
        <w:rPr>
          <w:rFonts w:ascii="Century Gothic" w:hAnsi="Century Gothic"/>
          <w:sz w:val="24"/>
          <w:szCs w:val="24"/>
        </w:rPr>
        <w:br/>
        <w:t xml:space="preserve">(b) by the insertion after the definition of “Minister” of the following definition: </w:t>
      </w:r>
      <w:r w:rsidRPr="00FD4404">
        <w:rPr>
          <w:rFonts w:ascii="Century Gothic" w:hAnsi="Century Gothic"/>
          <w:sz w:val="24"/>
          <w:szCs w:val="24"/>
        </w:rPr>
        <w:br/>
        <w:t xml:space="preserve">“ ‘norms and standards’ means the norms and standards contemplated in section 15A;”; </w:t>
      </w:r>
      <w:r w:rsidRPr="00FD4404">
        <w:rPr>
          <w:rFonts w:ascii="Century Gothic" w:hAnsi="Century Gothic"/>
          <w:sz w:val="24"/>
          <w:szCs w:val="24"/>
        </w:rPr>
        <w:br/>
        <w:t xml:space="preserve">(c) by the substitution for the definition of “prescribed” of the following definition: </w:t>
      </w:r>
      <w:r w:rsidRPr="00FD4404">
        <w:rPr>
          <w:rFonts w:ascii="Century Gothic" w:hAnsi="Century Gothic"/>
          <w:sz w:val="24"/>
          <w:szCs w:val="24"/>
        </w:rPr>
        <w:br/>
        <w:t xml:space="preserve">“ ‘prescribed’ means prescribed by regulation made under this Act;”; </w:t>
      </w:r>
      <w:r w:rsidRPr="00FD4404">
        <w:rPr>
          <w:rFonts w:ascii="Century Gothic" w:hAnsi="Century Gothic"/>
          <w:sz w:val="24"/>
          <w:szCs w:val="24"/>
        </w:rPr>
        <w:br/>
        <w:t xml:space="preserve">(d) by the insertion after the definition of “regulation” of the following definition: </w:t>
      </w:r>
      <w:r w:rsidRPr="00FD4404">
        <w:rPr>
          <w:rFonts w:ascii="Century Gothic" w:hAnsi="Century Gothic"/>
          <w:sz w:val="24"/>
          <w:szCs w:val="24"/>
        </w:rPr>
        <w:br/>
        <w:t xml:space="preserve">“ ‘Rental Housing Information Office’ means the office established in terms of section 14;”; </w:t>
      </w:r>
      <w:r w:rsidRPr="00FD4404">
        <w:rPr>
          <w:rFonts w:ascii="Century Gothic" w:hAnsi="Century Gothic"/>
          <w:sz w:val="24"/>
          <w:szCs w:val="24"/>
        </w:rPr>
        <w:br/>
        <w:t xml:space="preserve">(e) by the substitution for the definition of “tenant” of the following definition: </w:t>
      </w:r>
      <w:r w:rsidRPr="00FD4404">
        <w:rPr>
          <w:rFonts w:ascii="Century Gothic" w:hAnsi="Century Gothic"/>
          <w:sz w:val="24"/>
          <w:szCs w:val="24"/>
        </w:rPr>
        <w:br/>
        <w:t xml:space="preserve">“ ‘tenant’ means the lessee of a dwelling under a lease and includes a sublessee and a person </w:t>
      </w:r>
      <w:r w:rsidRPr="00FD4404">
        <w:rPr>
          <w:rFonts w:ascii="Century Gothic" w:hAnsi="Century Gothic"/>
          <w:sz w:val="24"/>
          <w:szCs w:val="24"/>
        </w:rPr>
        <w:br/>
        <w:t xml:space="preserve">who is in lawful occupation of a dwelling without a written lease.”. </w:t>
      </w:r>
      <w:r w:rsidRPr="00FD4404">
        <w:rPr>
          <w:rFonts w:ascii="Century Gothic" w:hAnsi="Century Gothic"/>
          <w:sz w:val="24"/>
          <w:szCs w:val="24"/>
        </w:rPr>
        <w:br/>
      </w:r>
      <w:r w:rsidRPr="00FD4404">
        <w:rPr>
          <w:rFonts w:ascii="Century Gothic" w:hAnsi="Century Gothic"/>
          <w:sz w:val="24"/>
          <w:szCs w:val="24"/>
        </w:rPr>
        <w:lastRenderedPageBreak/>
        <w:t xml:space="preserve"> </w:t>
      </w:r>
      <w:r w:rsidRPr="00FD4404">
        <w:rPr>
          <w:rFonts w:ascii="Century Gothic" w:hAnsi="Century Gothic"/>
          <w:sz w:val="24"/>
          <w:szCs w:val="24"/>
        </w:rPr>
        <w:br/>
      </w:r>
      <w:r w:rsidRPr="00FD4404">
        <w:rPr>
          <w:rFonts w:ascii="Century Gothic" w:hAnsi="Century Gothic"/>
          <w:b/>
          <w:bCs/>
          <w:sz w:val="24"/>
          <w:szCs w:val="24"/>
        </w:rPr>
        <w:t xml:space="preserve">2. Amendment of section 2 of Act 50 of 1999 </w:t>
      </w:r>
      <w:r w:rsidRPr="00FD4404">
        <w:rPr>
          <w:rFonts w:ascii="Century Gothic" w:hAnsi="Century Gothic"/>
          <w:b/>
          <w:bCs/>
          <w:sz w:val="24"/>
          <w:szCs w:val="24"/>
        </w:rPr>
        <w:br/>
      </w:r>
      <w:r w:rsidRPr="00FD4404">
        <w:rPr>
          <w:rFonts w:ascii="Century Gothic" w:hAnsi="Century Gothic"/>
          <w:sz w:val="24"/>
          <w:szCs w:val="24"/>
        </w:rPr>
        <w:t xml:space="preserve">Section 2 of the principal Act is hereby amended— </w:t>
      </w:r>
      <w:r w:rsidRPr="00FD4404">
        <w:rPr>
          <w:rFonts w:ascii="Century Gothic" w:hAnsi="Century Gothic"/>
          <w:sz w:val="24"/>
          <w:szCs w:val="24"/>
        </w:rPr>
        <w:br/>
        <w:t xml:space="preserve">(a) by the substitution for subsection (1) of the following subsection: </w:t>
      </w:r>
      <w:r w:rsidRPr="00FD4404">
        <w:rPr>
          <w:rFonts w:ascii="Century Gothic" w:hAnsi="Century Gothic"/>
          <w:sz w:val="24"/>
          <w:szCs w:val="24"/>
        </w:rPr>
        <w:br/>
        <w:t xml:space="preserve">“(1) This Act applies to all dwellings leased or rented as residential property and includes </w:t>
      </w:r>
      <w:r w:rsidRPr="00FD4404">
        <w:rPr>
          <w:rFonts w:ascii="Century Gothic" w:hAnsi="Century Gothic"/>
          <w:sz w:val="24"/>
          <w:szCs w:val="24"/>
        </w:rPr>
        <w:br/>
        <w:t xml:space="preserve">dwellings in informal settlements.”; </w:t>
      </w:r>
      <w:r w:rsidRPr="00FD4404">
        <w:rPr>
          <w:rFonts w:ascii="Century Gothic" w:hAnsi="Century Gothic"/>
          <w:sz w:val="24"/>
          <w:szCs w:val="24"/>
        </w:rPr>
        <w:br/>
        <w:t xml:space="preserve">(b) by the substitution for subsection (2) of the following subsection: </w:t>
      </w:r>
      <w:r w:rsidRPr="00FD4404">
        <w:rPr>
          <w:rFonts w:ascii="Century Gothic" w:hAnsi="Century Gothic"/>
          <w:sz w:val="24"/>
          <w:szCs w:val="24"/>
        </w:rPr>
        <w:br/>
        <w:t xml:space="preserve">“(2) In the event of any conflict between this Act and any other law, this Act prevails.”. </w:t>
      </w:r>
      <w:r w:rsidRPr="00FD4404">
        <w:rPr>
          <w:rFonts w:ascii="Century Gothic" w:hAnsi="Century Gothic"/>
          <w:sz w:val="24"/>
          <w:szCs w:val="24"/>
        </w:rPr>
        <w:br/>
        <w:t xml:space="preserve"> </w:t>
      </w:r>
      <w:r w:rsidRPr="00FD4404">
        <w:rPr>
          <w:rFonts w:ascii="Century Gothic" w:hAnsi="Century Gothic"/>
          <w:sz w:val="24"/>
          <w:szCs w:val="24"/>
        </w:rPr>
        <w:br/>
      </w:r>
      <w:r w:rsidRPr="00FD4404">
        <w:rPr>
          <w:rFonts w:ascii="Century Gothic" w:hAnsi="Century Gothic"/>
          <w:b/>
          <w:bCs/>
          <w:sz w:val="24"/>
          <w:szCs w:val="24"/>
        </w:rPr>
        <w:t>3. Amendment of section 4 of Act 50 of 1999</w:t>
      </w:r>
      <w:r w:rsidRPr="00FD4404">
        <w:rPr>
          <w:rFonts w:ascii="Century Gothic" w:hAnsi="Century Gothic"/>
          <w:sz w:val="24"/>
          <w:szCs w:val="24"/>
        </w:rPr>
        <w:t xml:space="preserve"> </w:t>
      </w:r>
      <w:r w:rsidRPr="00FD4404">
        <w:rPr>
          <w:rFonts w:ascii="Century Gothic" w:hAnsi="Century Gothic"/>
          <w:sz w:val="24"/>
          <w:szCs w:val="24"/>
        </w:rPr>
        <w:br/>
        <w:t xml:space="preserve">Section 4 of the principal Act is hereby amended by the substitution for subsections (2) and </w:t>
      </w:r>
      <w:r w:rsidRPr="00FD4404">
        <w:rPr>
          <w:rFonts w:ascii="Century Gothic" w:hAnsi="Century Gothic"/>
          <w:sz w:val="24"/>
          <w:szCs w:val="24"/>
        </w:rPr>
        <w:br/>
      </w:r>
    </w:p>
    <w:p w14:paraId="10DF523F" w14:textId="77777777" w:rsidR="00816DE6" w:rsidRDefault="00000000">
      <w:r w:rsidRPr="00FD4404">
        <w:rPr>
          <w:rFonts w:ascii="Century Gothic" w:hAnsi="Century Gothic"/>
          <w:sz w:val="24"/>
          <w:szCs w:val="24"/>
        </w:rPr>
        <w:t xml:space="preserve">(5) of the following subsections: </w:t>
      </w:r>
      <w:r w:rsidRPr="00FD4404">
        <w:rPr>
          <w:rFonts w:ascii="Century Gothic" w:hAnsi="Century Gothic"/>
          <w:sz w:val="24"/>
          <w:szCs w:val="24"/>
        </w:rPr>
        <w:br/>
        <w:t xml:space="preserve">“(2) A lease between a tenant and a landlord must be in writing and must include the </w:t>
      </w:r>
      <w:r w:rsidRPr="00FD4404">
        <w:rPr>
          <w:rFonts w:ascii="Century Gothic" w:hAnsi="Century Gothic"/>
          <w:sz w:val="24"/>
          <w:szCs w:val="24"/>
        </w:rPr>
        <w:br/>
        <w:t xml:space="preserve">following information: </w:t>
      </w:r>
      <w:r w:rsidRPr="00FD4404">
        <w:rPr>
          <w:rFonts w:ascii="Century Gothic" w:hAnsi="Century Gothic"/>
          <w:sz w:val="24"/>
          <w:szCs w:val="24"/>
        </w:rPr>
        <w:br/>
        <w:t xml:space="preserve">(a) The names and addresses of the tenant and the landlord; </w:t>
      </w:r>
      <w:r w:rsidRPr="00FD4404">
        <w:rPr>
          <w:rFonts w:ascii="Century Gothic" w:hAnsi="Century Gothic"/>
          <w:sz w:val="24"/>
          <w:szCs w:val="24"/>
        </w:rPr>
        <w:br/>
        <w:t xml:space="preserve">(b) the description of the dwelling which is the subject of the lease; </w:t>
      </w:r>
      <w:r w:rsidRPr="00FD4404">
        <w:rPr>
          <w:rFonts w:ascii="Century Gothic" w:hAnsi="Century Gothic"/>
          <w:sz w:val="24"/>
          <w:szCs w:val="24"/>
        </w:rPr>
        <w:br/>
        <w:t xml:space="preserve">(c) the amount of rental payable and reasonable escalation, if any, to be paid in terms of the </w:t>
      </w:r>
      <w:r w:rsidRPr="00FD4404">
        <w:rPr>
          <w:rFonts w:ascii="Century Gothic" w:hAnsi="Century Gothic"/>
          <w:sz w:val="24"/>
          <w:szCs w:val="24"/>
        </w:rPr>
        <w:br/>
        <w:t xml:space="preserve">lease; </w:t>
      </w:r>
      <w:r w:rsidRPr="00FD4404">
        <w:rPr>
          <w:rFonts w:ascii="Century Gothic" w:hAnsi="Century Gothic"/>
          <w:sz w:val="24"/>
          <w:szCs w:val="24"/>
        </w:rPr>
        <w:br/>
        <w:t xml:space="preserve">(d) the frequency of payment of rental; </w:t>
      </w:r>
      <w:r w:rsidRPr="00FD4404">
        <w:rPr>
          <w:rFonts w:ascii="Century Gothic" w:hAnsi="Century Gothic"/>
          <w:sz w:val="24"/>
          <w:szCs w:val="24"/>
        </w:rPr>
        <w:br/>
        <w:t xml:space="preserve">(e) the amount of the deposit, if any, payable in terms of the lease; </w:t>
      </w:r>
      <w:r w:rsidRPr="00FD4404">
        <w:rPr>
          <w:rFonts w:ascii="Century Gothic" w:hAnsi="Century Gothic"/>
          <w:sz w:val="24"/>
          <w:szCs w:val="24"/>
        </w:rPr>
        <w:br/>
        <w:t xml:space="preserve">(f) the obligations of the tenant and the landlord, which must be in compliance with this Act; </w:t>
      </w:r>
      <w:r w:rsidRPr="00FD4404">
        <w:rPr>
          <w:rFonts w:ascii="Century Gothic" w:hAnsi="Century Gothic"/>
          <w:sz w:val="24"/>
          <w:szCs w:val="24"/>
        </w:rPr>
        <w:br/>
        <w:t xml:space="preserve">(g) the amount of any charges payable in addition to the rental in respect of water, </w:t>
      </w:r>
      <w:r w:rsidRPr="00FD4404">
        <w:rPr>
          <w:rFonts w:ascii="Century Gothic" w:hAnsi="Century Gothic"/>
          <w:sz w:val="24"/>
          <w:szCs w:val="24"/>
        </w:rPr>
        <w:br/>
        <w:t xml:space="preserve">electricity or gas; and </w:t>
      </w:r>
      <w:r w:rsidRPr="00FD4404">
        <w:rPr>
          <w:rFonts w:ascii="Century Gothic" w:hAnsi="Century Gothic"/>
          <w:sz w:val="24"/>
          <w:szCs w:val="24"/>
        </w:rPr>
        <w:br/>
        <w:t xml:space="preserve">(h) any other costs payable by the tenant.” </w:t>
      </w:r>
      <w:r w:rsidRPr="00FD4404">
        <w:rPr>
          <w:rFonts w:ascii="Century Gothic" w:hAnsi="Century Gothic"/>
          <w:sz w:val="24"/>
          <w:szCs w:val="24"/>
        </w:rPr>
        <w:br/>
        <w:t xml:space="preserve"> </w:t>
      </w:r>
      <w:r w:rsidRPr="00FD4404">
        <w:rPr>
          <w:rFonts w:ascii="Century Gothic" w:hAnsi="Century Gothic"/>
          <w:sz w:val="24"/>
          <w:szCs w:val="24"/>
        </w:rPr>
        <w:br/>
      </w:r>
      <w:r w:rsidRPr="00FD4404">
        <w:rPr>
          <w:rFonts w:ascii="Century Gothic" w:hAnsi="Century Gothic"/>
          <w:b/>
          <w:bCs/>
          <w:sz w:val="24"/>
          <w:szCs w:val="24"/>
        </w:rPr>
        <w:t>4. Amendment of section 13 of Act 50 of 1999</w:t>
      </w:r>
      <w:r w:rsidRPr="00FD4404">
        <w:rPr>
          <w:rFonts w:ascii="Century Gothic" w:hAnsi="Century Gothic"/>
          <w:sz w:val="24"/>
          <w:szCs w:val="24"/>
        </w:rPr>
        <w:t xml:space="preserve"> </w:t>
      </w:r>
      <w:r w:rsidRPr="00FD4404">
        <w:rPr>
          <w:rFonts w:ascii="Century Gothic" w:hAnsi="Century Gothic"/>
          <w:sz w:val="24"/>
          <w:szCs w:val="24"/>
        </w:rPr>
        <w:br/>
        <w:t xml:space="preserve">Section 13 of the principal Act is hereby amended by the insertion after subsection (11) of </w:t>
      </w:r>
      <w:r w:rsidRPr="00FD4404">
        <w:rPr>
          <w:rFonts w:ascii="Century Gothic" w:hAnsi="Century Gothic"/>
          <w:sz w:val="24"/>
          <w:szCs w:val="24"/>
        </w:rPr>
        <w:br/>
        <w:t xml:space="preserve">the following subsections: </w:t>
      </w:r>
      <w:r w:rsidRPr="00FD4404">
        <w:rPr>
          <w:rFonts w:ascii="Century Gothic" w:hAnsi="Century Gothic"/>
          <w:sz w:val="24"/>
          <w:szCs w:val="24"/>
        </w:rPr>
        <w:br/>
        <w:t xml:space="preserve">“(11A) A Tribunal must ensure that parties appearing before it </w:t>
      </w:r>
      <w:proofErr w:type="gramStart"/>
      <w:r w:rsidRPr="00FD4404">
        <w:rPr>
          <w:rFonts w:ascii="Century Gothic" w:hAnsi="Century Gothic"/>
          <w:sz w:val="24"/>
          <w:szCs w:val="24"/>
        </w:rPr>
        <w:t>receive</w:t>
      </w:r>
      <w:proofErr w:type="gramEnd"/>
      <w:r w:rsidRPr="00FD4404">
        <w:rPr>
          <w:rFonts w:ascii="Century Gothic" w:hAnsi="Century Gothic"/>
          <w:sz w:val="24"/>
          <w:szCs w:val="24"/>
        </w:rPr>
        <w:t xml:space="preserve"> the necessary </w:t>
      </w:r>
      <w:r w:rsidRPr="00FD4404">
        <w:rPr>
          <w:rFonts w:ascii="Century Gothic" w:hAnsi="Century Gothic"/>
          <w:sz w:val="24"/>
          <w:szCs w:val="24"/>
        </w:rPr>
        <w:br/>
        <w:t xml:space="preserve">assistance to enable them to understand and exercise their rights effectively. </w:t>
      </w:r>
      <w:r w:rsidRPr="00FD4404">
        <w:rPr>
          <w:rFonts w:ascii="Century Gothic" w:hAnsi="Century Gothic"/>
          <w:sz w:val="24"/>
          <w:szCs w:val="24"/>
        </w:rPr>
        <w:br/>
        <w:t xml:space="preserve">(11B) A Tribunal must, where possible, promote the settlement of disputes by conciliation </w:t>
      </w:r>
      <w:r w:rsidRPr="00FD4404">
        <w:rPr>
          <w:rFonts w:ascii="Century Gothic" w:hAnsi="Century Gothic"/>
          <w:sz w:val="24"/>
          <w:szCs w:val="24"/>
        </w:rPr>
        <w:br/>
        <w:t xml:space="preserve">before arbitration.” </w:t>
      </w:r>
      <w:r w:rsidRPr="00FD4404">
        <w:rPr>
          <w:rFonts w:ascii="Century Gothic" w:hAnsi="Century Gothic"/>
          <w:sz w:val="24"/>
          <w:szCs w:val="24"/>
        </w:rPr>
        <w:br/>
      </w:r>
      <w:r w:rsidRPr="00FD4404">
        <w:rPr>
          <w:rFonts w:ascii="Century Gothic" w:hAnsi="Century Gothic"/>
          <w:sz w:val="24"/>
          <w:szCs w:val="24"/>
        </w:rPr>
        <w:lastRenderedPageBreak/>
        <w:t xml:space="preserve"> </w:t>
      </w:r>
      <w:r w:rsidRPr="00FD4404">
        <w:rPr>
          <w:rFonts w:ascii="Century Gothic" w:hAnsi="Century Gothic"/>
          <w:sz w:val="24"/>
          <w:szCs w:val="24"/>
        </w:rPr>
        <w:br/>
      </w:r>
      <w:r w:rsidRPr="00FD4404">
        <w:rPr>
          <w:rFonts w:ascii="Century Gothic" w:hAnsi="Century Gothic"/>
          <w:b/>
          <w:bCs/>
          <w:sz w:val="24"/>
          <w:szCs w:val="24"/>
        </w:rPr>
        <w:t xml:space="preserve">5. Insertion of section 15A in Act 50 of 1999 </w:t>
      </w:r>
      <w:r w:rsidRPr="00FD4404">
        <w:rPr>
          <w:rFonts w:ascii="Century Gothic" w:hAnsi="Century Gothic"/>
          <w:b/>
          <w:bCs/>
          <w:sz w:val="24"/>
          <w:szCs w:val="24"/>
        </w:rPr>
        <w:br/>
      </w:r>
      <w:r w:rsidRPr="00FD4404">
        <w:rPr>
          <w:rFonts w:ascii="Century Gothic" w:hAnsi="Century Gothic"/>
          <w:sz w:val="24"/>
          <w:szCs w:val="24"/>
        </w:rPr>
        <w:t xml:space="preserve">The following section is hereby inserted in the principal Act after section 15: </w:t>
      </w:r>
      <w:r w:rsidRPr="00FD4404">
        <w:rPr>
          <w:rFonts w:ascii="Century Gothic" w:hAnsi="Century Gothic"/>
          <w:sz w:val="24"/>
          <w:szCs w:val="24"/>
        </w:rPr>
        <w:br/>
        <w:t xml:space="preserve"> </w:t>
      </w:r>
      <w:r w:rsidRPr="00FD4404">
        <w:rPr>
          <w:rFonts w:ascii="Century Gothic" w:hAnsi="Century Gothic"/>
          <w:sz w:val="24"/>
          <w:szCs w:val="24"/>
        </w:rPr>
        <w:br/>
      </w:r>
      <w:r w:rsidRPr="00FD4404">
        <w:rPr>
          <w:rFonts w:ascii="Century Gothic" w:hAnsi="Century Gothic"/>
          <w:b/>
          <w:bCs/>
          <w:sz w:val="24"/>
          <w:szCs w:val="24"/>
        </w:rPr>
        <w:t>“15A. Norms and standards</w:t>
      </w:r>
      <w:r w:rsidRPr="00FD4404">
        <w:rPr>
          <w:rFonts w:ascii="Century Gothic" w:hAnsi="Century Gothic"/>
          <w:sz w:val="24"/>
          <w:szCs w:val="24"/>
        </w:rPr>
        <w:t xml:space="preserve"> </w:t>
      </w:r>
      <w:r w:rsidRPr="00FD4404">
        <w:rPr>
          <w:rFonts w:ascii="Century Gothic" w:hAnsi="Century Gothic"/>
          <w:sz w:val="24"/>
          <w:szCs w:val="24"/>
        </w:rPr>
        <w:br/>
        <w:t xml:space="preserve">(1) The Minister must, after consultation with the Members of the Executive Council </w:t>
      </w:r>
      <w:r w:rsidRPr="00FD4404">
        <w:rPr>
          <w:rFonts w:ascii="Century Gothic" w:hAnsi="Century Gothic"/>
          <w:sz w:val="24"/>
          <w:szCs w:val="24"/>
        </w:rPr>
        <w:br/>
        <w:t xml:space="preserve">responsible for human settlements in the provinces, establish norms and standards in </w:t>
      </w:r>
      <w:r w:rsidRPr="00FD4404">
        <w:rPr>
          <w:rFonts w:ascii="Century Gothic" w:hAnsi="Century Gothic"/>
          <w:sz w:val="24"/>
          <w:szCs w:val="24"/>
        </w:rPr>
        <w:br/>
        <w:t xml:space="preserve">respect of rental housing. </w:t>
      </w:r>
      <w:r w:rsidRPr="00FD4404">
        <w:rPr>
          <w:rFonts w:ascii="Century Gothic" w:hAnsi="Century Gothic"/>
          <w:sz w:val="24"/>
          <w:szCs w:val="24"/>
        </w:rPr>
        <w:br/>
        <w:t xml:space="preserve">(2) Such norms and standards must include— </w:t>
      </w:r>
      <w:r w:rsidRPr="00FD4404">
        <w:rPr>
          <w:rFonts w:ascii="Century Gothic" w:hAnsi="Century Gothic"/>
          <w:sz w:val="24"/>
          <w:szCs w:val="24"/>
        </w:rPr>
        <w:br/>
        <w:t xml:space="preserve">(a) requirements relating to the provision of basic services in rental housing; </w:t>
      </w:r>
      <w:r w:rsidRPr="00FD4404">
        <w:rPr>
          <w:rFonts w:ascii="Century Gothic" w:hAnsi="Century Gothic"/>
          <w:sz w:val="24"/>
          <w:szCs w:val="24"/>
        </w:rPr>
        <w:br/>
        <w:t xml:space="preserve">(b) minimum requirements for habitable dwellings; and </w:t>
      </w:r>
      <w:r w:rsidRPr="00FD4404">
        <w:rPr>
          <w:rFonts w:ascii="Century Gothic" w:hAnsi="Century Gothic"/>
          <w:sz w:val="24"/>
          <w:szCs w:val="24"/>
        </w:rPr>
        <w:br/>
        <w:t xml:space="preserve">(c) measures to promote access to adequate housing on a progressive basis.” </w:t>
      </w:r>
      <w:r w:rsidRPr="00FD4404">
        <w:rPr>
          <w:rFonts w:ascii="Century Gothic" w:hAnsi="Century Gothic"/>
          <w:sz w:val="24"/>
          <w:szCs w:val="24"/>
        </w:rPr>
        <w:br/>
        <w:t xml:space="preserve"> </w:t>
      </w:r>
      <w:r w:rsidRPr="00FD4404">
        <w:rPr>
          <w:rFonts w:ascii="Century Gothic" w:hAnsi="Century Gothic"/>
          <w:sz w:val="24"/>
          <w:szCs w:val="24"/>
        </w:rPr>
        <w:br/>
      </w:r>
      <w:r w:rsidRPr="00FD4404">
        <w:rPr>
          <w:rFonts w:ascii="Century Gothic" w:hAnsi="Century Gothic"/>
          <w:b/>
          <w:bCs/>
          <w:sz w:val="24"/>
          <w:szCs w:val="24"/>
        </w:rPr>
        <w:t>6. Short title and commencement</w:t>
      </w:r>
      <w:r w:rsidRPr="00FD4404">
        <w:rPr>
          <w:rFonts w:ascii="Century Gothic" w:hAnsi="Century Gothic"/>
          <w:sz w:val="24"/>
          <w:szCs w:val="24"/>
        </w:rPr>
        <w:t xml:space="preserve"> </w:t>
      </w:r>
      <w:r w:rsidRPr="00FD4404">
        <w:rPr>
          <w:rFonts w:ascii="Century Gothic" w:hAnsi="Century Gothic"/>
          <w:sz w:val="24"/>
          <w:szCs w:val="24"/>
        </w:rPr>
        <w:br/>
        <w:t xml:space="preserve">This Act </w:t>
      </w:r>
      <w:proofErr w:type="gramStart"/>
      <w:r w:rsidRPr="00FD4404">
        <w:rPr>
          <w:rFonts w:ascii="Century Gothic" w:hAnsi="Century Gothic"/>
          <w:sz w:val="24"/>
          <w:szCs w:val="24"/>
        </w:rPr>
        <w:t>is</w:t>
      </w:r>
      <w:proofErr w:type="gramEnd"/>
      <w:r w:rsidRPr="00FD4404">
        <w:rPr>
          <w:rFonts w:ascii="Century Gothic" w:hAnsi="Century Gothic"/>
          <w:sz w:val="24"/>
          <w:szCs w:val="24"/>
        </w:rPr>
        <w:t xml:space="preserve"> called the Rental Housing Amendment Act, 2014, and comes into operation on a </w:t>
      </w:r>
      <w:r w:rsidRPr="00FD4404">
        <w:rPr>
          <w:rFonts w:ascii="Century Gothic" w:hAnsi="Century Gothic"/>
          <w:sz w:val="24"/>
          <w:szCs w:val="24"/>
        </w:rPr>
        <w:br/>
        <w:t xml:space="preserve">date fixed by the President by proclamation in the Gazette. </w:t>
      </w:r>
      <w:r w:rsidRPr="00FD4404">
        <w:rPr>
          <w:rFonts w:ascii="Century Gothic" w:hAnsi="Century Gothic"/>
          <w:sz w:val="24"/>
          <w:szCs w:val="24"/>
        </w:rPr>
        <w:br/>
      </w:r>
      <w:r>
        <w:rPr>
          <w:rFonts w:ascii="Cambria" w:hAnsi="Cambria"/>
        </w:rPr>
        <w:t xml:space="preserve"> </w:t>
      </w:r>
      <w:r>
        <w:rPr>
          <w:rFonts w:ascii="Cambria" w:hAnsi="Cambria"/>
        </w:rPr>
        <w:br/>
      </w:r>
    </w:p>
    <w:sectPr w:rsidR="00816D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427"/>
    <w:rsid w:val="00255448"/>
    <w:rsid w:val="005D200A"/>
    <w:rsid w:val="007F4427"/>
    <w:rsid w:val="00816DE6"/>
    <w:rsid w:val="00FD4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7CFBDAB"/>
  <w15:chartTrackingRefBased/>
  <w15:docId w15:val="{A10F59F7-497D-44D4-A338-47719734E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679</Words>
  <Characters>3874</Characters>
  <Application>Microsoft Office Word</Application>
  <DocSecurity>0</DocSecurity>
  <Lines>32</Lines>
  <Paragraphs>9</Paragraphs>
  <ScaleCrop>false</ScaleCrop>
  <Company/>
  <LinksUpToDate>false</LinksUpToDate>
  <CharactersWithSpaces>4544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Ridwaan@cyberia.org.za</dc:creator>
  <cp:keywords/>
  <dc:description/>
  <cp:lastModifiedBy>Ridwaan@cyberia.org.za</cp:lastModifiedBy>
  <cp:revision>2</cp:revision>
  <dcterms:created xsi:type="dcterms:W3CDTF">2025-10-07T12:44:00Z</dcterms:created>
  <dcterms:modified xsi:type="dcterms:W3CDTF">2025-10-07T12:44:00Z</dcterms:modified>
</cp:coreProperties>
</file>